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E34060" w:rsidP="00B2290E">
      <w:pPr>
        <w:jc w:val="center"/>
        <w:rPr>
          <w:rFonts w:ascii="Georgia" w:hAnsi="Georgia"/>
          <w:b/>
        </w:rPr>
      </w:pPr>
      <w:r>
        <w:rPr>
          <w:noProof/>
          <w:lang w:val="en-IE" w:eastAsia="en-IE"/>
        </w:rPr>
        <w:drawing>
          <wp:inline distT="0" distB="0" distL="0" distR="0" wp14:anchorId="2865966E" wp14:editId="7062779C">
            <wp:extent cx="2152650" cy="1019175"/>
            <wp:effectExtent l="0" t="0" r="0" b="9525"/>
            <wp:docPr id="3" name="Picture 3" descr="ETB"/>
            <wp:cNvGraphicFramePr/>
            <a:graphic xmlns:a="http://schemas.openxmlformats.org/drawingml/2006/main">
              <a:graphicData uri="http://schemas.openxmlformats.org/drawingml/2006/picture">
                <pic:pic xmlns:pic="http://schemas.openxmlformats.org/drawingml/2006/picture">
                  <pic:nvPicPr>
                    <pic:cNvPr id="3" name="Picture 3" descr="ETB"/>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152650" cy="1019175"/>
                    </a:xfrm>
                    <a:prstGeom prst="rect">
                      <a:avLst/>
                    </a:prstGeom>
                    <a:noFill/>
                    <a:ln>
                      <a:noFill/>
                    </a:ln>
                  </pic:spPr>
                </pic:pic>
              </a:graphicData>
            </a:graphic>
          </wp:inline>
        </w:drawing>
      </w: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Default="00B2290E" w:rsidP="00B2290E">
      <w:pPr>
        <w:jc w:val="center"/>
        <w:rPr>
          <w:rFonts w:ascii="Georgia" w:hAnsi="Georgia"/>
          <w:b/>
        </w:rPr>
      </w:pPr>
    </w:p>
    <w:p w:rsidR="00B2290E" w:rsidRPr="003F65F2" w:rsidRDefault="00522E02" w:rsidP="00B2290E">
      <w:pPr>
        <w:jc w:val="center"/>
        <w:rPr>
          <w:rFonts w:ascii="Georgia" w:hAnsi="Georgia"/>
          <w:b/>
        </w:rPr>
      </w:pPr>
      <w:r>
        <w:rPr>
          <w:rFonts w:ascii="Georgia" w:hAnsi="Georgia"/>
          <w:b/>
        </w:rPr>
        <w:t>Céim Eile, Templemore College of Further Education (TCFE)</w:t>
      </w:r>
    </w:p>
    <w:p w:rsidR="00B2290E" w:rsidRPr="003F65F2" w:rsidRDefault="00B2290E" w:rsidP="00B2290E">
      <w:pPr>
        <w:rPr>
          <w:rFonts w:ascii="Georgia" w:hAnsi="Georgia"/>
          <w:b/>
        </w:rPr>
      </w:pPr>
    </w:p>
    <w:p w:rsidR="00B2290E" w:rsidRDefault="001200A1" w:rsidP="00B2290E">
      <w:pPr>
        <w:jc w:val="center"/>
        <w:rPr>
          <w:rFonts w:ascii="Georgia" w:hAnsi="Georgia"/>
          <w:b/>
        </w:rPr>
      </w:pPr>
      <w:r>
        <w:rPr>
          <w:rFonts w:ascii="Georgia" w:hAnsi="Georgia"/>
          <w:b/>
        </w:rPr>
        <w:t>Access, Transfer &amp; Progression</w:t>
      </w:r>
      <w:r w:rsidR="002B517F">
        <w:rPr>
          <w:rFonts w:ascii="Georgia" w:hAnsi="Georgia"/>
          <w:b/>
        </w:rPr>
        <w:t xml:space="preserve"> </w:t>
      </w:r>
      <w:r w:rsidR="00522E02">
        <w:rPr>
          <w:rFonts w:ascii="Georgia" w:hAnsi="Georgia"/>
          <w:b/>
        </w:rPr>
        <w:t>Policy</w:t>
      </w:r>
    </w:p>
    <w:p w:rsidR="00B2290E" w:rsidRDefault="00B2290E" w:rsidP="00B2290E">
      <w:pPr>
        <w:jc w:val="center"/>
        <w:rPr>
          <w:rFonts w:ascii="Georgia" w:hAnsi="Georgia"/>
          <w:b/>
        </w:rPr>
      </w:pPr>
    </w:p>
    <w:p w:rsidR="00B2290E" w:rsidRPr="003F65F2" w:rsidRDefault="00B2290E" w:rsidP="00B2290E">
      <w:pPr>
        <w:jc w:val="center"/>
        <w:rPr>
          <w:rFonts w:ascii="Georgia" w:hAnsi="Georgia"/>
          <w:b/>
        </w:rPr>
      </w:pPr>
    </w:p>
    <w:p w:rsidR="00B2290E" w:rsidRDefault="00B2290E" w:rsidP="00B2290E">
      <w:pPr>
        <w:rPr>
          <w:rFonts w:ascii="Calibri" w:hAnsi="Calibri"/>
          <w:color w:val="1F497D"/>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598"/>
      </w:tblGrid>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Policy Area</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Schools</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Reference number</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0844E1" w:rsidP="001200A1">
            <w:pPr>
              <w:spacing w:before="240" w:after="240"/>
              <w:rPr>
                <w:color w:val="FF0000"/>
              </w:rPr>
            </w:pPr>
            <w:r>
              <w:t>See Attached</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Version</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951AF7"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Document Drafted by</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B2290E" w:rsidRDefault="00522E02" w:rsidP="00B2290E">
            <w:pPr>
              <w:rPr>
                <w:rFonts w:ascii="Georgia" w:hAnsi="Georgia"/>
                <w:b/>
              </w:rPr>
            </w:pPr>
            <w:r>
              <w:rPr>
                <w:rFonts w:ascii="Georgia" w:hAnsi="Georgia"/>
                <w:b/>
              </w:rPr>
              <w:t>Céim Eile, TCFE</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Adopted by TETB</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rPr>
                <w:color w:val="FF0000"/>
              </w:rPr>
              <w:t>To be inserted by HO</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 xml:space="preserve">Reviewed/Amendment </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pStyle w:val="ListParagraph"/>
              <w:ind w:left="42"/>
            </w:pPr>
            <w:r>
              <w:t xml:space="preserve"> </w:t>
            </w:r>
          </w:p>
          <w:p w:rsidR="00DE1082" w:rsidRPr="00305711" w:rsidRDefault="00305711" w:rsidP="00305711">
            <w:pPr>
              <w:rPr>
                <w:iCs/>
                <w:sz w:val="22"/>
                <w:szCs w:val="22"/>
              </w:rPr>
            </w:pPr>
            <w:r>
              <w:rPr>
                <w:iCs/>
                <w:sz w:val="22"/>
                <w:szCs w:val="22"/>
              </w:rPr>
              <w:t>Summer 2017</w:t>
            </w:r>
          </w:p>
        </w:tc>
      </w:tr>
      <w:tr w:rsidR="00B2290E" w:rsidRPr="00816CB7" w:rsidTr="00127125">
        <w:tc>
          <w:tcPr>
            <w:tcW w:w="4644" w:type="dxa"/>
            <w:tcBorders>
              <w:top w:val="single" w:sz="4" w:space="0" w:color="auto"/>
              <w:left w:val="single" w:sz="4" w:space="0" w:color="auto"/>
              <w:bottom w:val="single" w:sz="4" w:space="0" w:color="auto"/>
              <w:right w:val="single" w:sz="4" w:space="0" w:color="auto"/>
            </w:tcBorders>
            <w:shd w:val="clear" w:color="auto" w:fill="auto"/>
            <w:hideMark/>
          </w:tcPr>
          <w:p w:rsidR="00B2290E" w:rsidRDefault="00B2290E" w:rsidP="00127125">
            <w:pPr>
              <w:spacing w:before="240" w:after="240"/>
            </w:pPr>
            <w:r>
              <w:t>Date Review/Amendment Adopted</w:t>
            </w:r>
          </w:p>
        </w:tc>
        <w:tc>
          <w:tcPr>
            <w:tcW w:w="4598" w:type="dxa"/>
            <w:tcBorders>
              <w:top w:val="single" w:sz="4" w:space="0" w:color="auto"/>
              <w:left w:val="single" w:sz="4" w:space="0" w:color="auto"/>
              <w:bottom w:val="single" w:sz="4" w:space="0" w:color="auto"/>
              <w:right w:val="single" w:sz="4" w:space="0" w:color="auto"/>
            </w:tcBorders>
            <w:shd w:val="clear" w:color="auto" w:fill="auto"/>
            <w:hideMark/>
          </w:tcPr>
          <w:p w:rsidR="00B2290E" w:rsidRPr="00054BF6" w:rsidRDefault="00DE1082" w:rsidP="00127125">
            <w:pPr>
              <w:spacing w:before="240" w:after="240"/>
              <w:rPr>
                <w:b/>
              </w:rPr>
            </w:pPr>
            <w:r>
              <w:rPr>
                <w:color w:val="FF0000"/>
              </w:rPr>
              <w:t>To be inserted by HO</w:t>
            </w:r>
          </w:p>
        </w:tc>
      </w:tr>
    </w:tbl>
    <w:p w:rsidR="00B2290E" w:rsidRDefault="00B2290E" w:rsidP="00B2290E">
      <w:pPr>
        <w:rPr>
          <w:rFonts w:ascii="Calibri" w:hAnsi="Calibri"/>
          <w:color w:val="1F497D"/>
          <w:sz w:val="22"/>
          <w:szCs w:val="22"/>
        </w:rPr>
      </w:pPr>
    </w:p>
    <w:p w:rsidR="00B2290E" w:rsidRDefault="00B2290E" w:rsidP="00B2290E">
      <w:pPr>
        <w:rPr>
          <w:rFonts w:ascii="Georgia" w:hAnsi="Georgia"/>
        </w:rPr>
      </w:pPr>
    </w:p>
    <w:p w:rsidR="00B2290E" w:rsidRDefault="00B2290E" w:rsidP="00B2290E"/>
    <w:p w:rsidR="005A166A" w:rsidRDefault="005A166A">
      <w:pPr>
        <w:spacing w:after="160" w:line="259" w:lineRule="auto"/>
      </w:pPr>
      <w:r>
        <w:br w:type="page"/>
      </w:r>
    </w:p>
    <w:p w:rsidR="005A166A" w:rsidRPr="00CC468A" w:rsidRDefault="005A166A" w:rsidP="005A166A">
      <w:pPr>
        <w:rPr>
          <w:b/>
          <w:sz w:val="28"/>
          <w:szCs w:val="28"/>
        </w:rPr>
      </w:pPr>
      <w:r w:rsidRPr="00CC468A">
        <w:rPr>
          <w:b/>
          <w:sz w:val="28"/>
          <w:szCs w:val="28"/>
        </w:rPr>
        <w:lastRenderedPageBreak/>
        <w:t>Access, Transfer and Progression</w:t>
      </w:r>
      <w:r>
        <w:rPr>
          <w:b/>
          <w:sz w:val="28"/>
          <w:szCs w:val="28"/>
        </w:rPr>
        <w:t xml:space="preserve"> Policy</w:t>
      </w:r>
    </w:p>
    <w:p w:rsidR="005A166A" w:rsidRPr="00701B7B" w:rsidRDefault="005A166A" w:rsidP="005A166A">
      <w:r w:rsidRPr="00701B7B">
        <w:t xml:space="preserve">This policy outlines how the </w:t>
      </w:r>
      <w:proofErr w:type="spellStart"/>
      <w:r w:rsidRPr="00701B7B">
        <w:t>Ceim</w:t>
      </w:r>
      <w:proofErr w:type="spellEnd"/>
      <w:r w:rsidRPr="00701B7B">
        <w:t xml:space="preserve"> Eile facilitates the access, transfer, and progression options available to students exiting the </w:t>
      </w:r>
      <w:proofErr w:type="spellStart"/>
      <w:r w:rsidRPr="00701B7B">
        <w:t>Ceim</w:t>
      </w:r>
      <w:proofErr w:type="spellEnd"/>
      <w:r w:rsidRPr="00701B7B">
        <w:t xml:space="preserve"> Eile Youthreach </w:t>
      </w:r>
      <w:proofErr w:type="spellStart"/>
      <w:r w:rsidRPr="00701B7B">
        <w:t>programme</w:t>
      </w:r>
      <w:proofErr w:type="spellEnd"/>
      <w:r w:rsidRPr="00701B7B">
        <w:t>.</w:t>
      </w:r>
    </w:p>
    <w:p w:rsidR="005A166A" w:rsidRPr="00701B7B" w:rsidRDefault="005A166A" w:rsidP="005A166A">
      <w:pPr>
        <w:rPr>
          <w:b/>
        </w:rPr>
      </w:pPr>
      <w:r w:rsidRPr="00701B7B">
        <w:t>The access to progression options can be limited.  Therefore students exiting the Céim Eile, seeking further education and training opportunities may, apply for course within the college to access Post Leaving Courses and our supported to apply for Apprenticeships, Employment and other training and further education options.</w:t>
      </w:r>
      <w:r w:rsidRPr="00701B7B">
        <w:rPr>
          <w:b/>
        </w:rPr>
        <w:t xml:space="preserve"> </w:t>
      </w:r>
    </w:p>
    <w:p w:rsidR="005A166A" w:rsidRDefault="005A166A" w:rsidP="005A166A">
      <w:pPr>
        <w:rPr>
          <w:b/>
          <w:sz w:val="28"/>
          <w:szCs w:val="28"/>
        </w:rPr>
      </w:pPr>
    </w:p>
    <w:p w:rsidR="005A166A" w:rsidRPr="00701B7B" w:rsidRDefault="005A166A" w:rsidP="005A166A">
      <w:pPr>
        <w:rPr>
          <w:b/>
          <w:sz w:val="28"/>
          <w:szCs w:val="28"/>
        </w:rPr>
      </w:pPr>
      <w:r w:rsidRPr="00701B7B">
        <w:rPr>
          <w:b/>
          <w:sz w:val="28"/>
          <w:szCs w:val="28"/>
        </w:rPr>
        <w:t>Procedures</w:t>
      </w: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3081"/>
        <w:gridCol w:w="4012"/>
      </w:tblGrid>
      <w:tr w:rsidR="005A166A" w:rsidRPr="00701B7B" w:rsidTr="00B50533">
        <w:tc>
          <w:tcPr>
            <w:tcW w:w="3823" w:type="dxa"/>
            <w:shd w:val="clear" w:color="auto" w:fill="auto"/>
          </w:tcPr>
          <w:p w:rsidR="005A166A" w:rsidRPr="00701B7B" w:rsidRDefault="005A166A" w:rsidP="00B50533">
            <w:pPr>
              <w:rPr>
                <w:b/>
                <w:sz w:val="20"/>
              </w:rPr>
            </w:pPr>
            <w:r w:rsidRPr="00701B7B">
              <w:rPr>
                <w:b/>
                <w:sz w:val="20"/>
              </w:rPr>
              <w:t>Options</w:t>
            </w:r>
          </w:p>
        </w:tc>
        <w:tc>
          <w:tcPr>
            <w:tcW w:w="3081" w:type="dxa"/>
            <w:shd w:val="clear" w:color="auto" w:fill="auto"/>
          </w:tcPr>
          <w:p w:rsidR="005A166A" w:rsidRPr="00701B7B" w:rsidRDefault="005A166A" w:rsidP="00B50533">
            <w:pPr>
              <w:rPr>
                <w:b/>
                <w:sz w:val="20"/>
              </w:rPr>
            </w:pPr>
            <w:r w:rsidRPr="00701B7B">
              <w:rPr>
                <w:b/>
                <w:sz w:val="20"/>
              </w:rPr>
              <w:t>How</w:t>
            </w:r>
          </w:p>
        </w:tc>
        <w:tc>
          <w:tcPr>
            <w:tcW w:w="4012" w:type="dxa"/>
            <w:shd w:val="clear" w:color="auto" w:fill="auto"/>
          </w:tcPr>
          <w:p w:rsidR="005A166A" w:rsidRPr="00701B7B" w:rsidRDefault="005A166A" w:rsidP="00B50533">
            <w:pPr>
              <w:rPr>
                <w:b/>
                <w:sz w:val="20"/>
              </w:rPr>
            </w:pPr>
            <w:r w:rsidRPr="00701B7B">
              <w:rPr>
                <w:b/>
                <w:sz w:val="20"/>
              </w:rPr>
              <w:t>Opportunities</w:t>
            </w:r>
          </w:p>
        </w:tc>
      </w:tr>
      <w:tr w:rsidR="005A166A" w:rsidRPr="00701B7B" w:rsidTr="00B50533">
        <w:tc>
          <w:tcPr>
            <w:tcW w:w="3823" w:type="dxa"/>
            <w:shd w:val="clear" w:color="auto" w:fill="auto"/>
          </w:tcPr>
          <w:p w:rsidR="005A166A" w:rsidRPr="00701B7B" w:rsidRDefault="005A166A" w:rsidP="00B50533">
            <w:pPr>
              <w:rPr>
                <w:b/>
                <w:sz w:val="20"/>
              </w:rPr>
            </w:pPr>
            <w:r w:rsidRPr="00701B7B">
              <w:rPr>
                <w:b/>
                <w:sz w:val="20"/>
              </w:rPr>
              <w:t>Access:</w:t>
            </w:r>
          </w:p>
        </w:tc>
        <w:tc>
          <w:tcPr>
            <w:tcW w:w="3081" w:type="dxa"/>
            <w:shd w:val="clear" w:color="auto" w:fill="auto"/>
          </w:tcPr>
          <w:p w:rsidR="005A166A" w:rsidRPr="00701B7B" w:rsidRDefault="005A166A" w:rsidP="00B50533">
            <w:pPr>
              <w:rPr>
                <w:sz w:val="20"/>
              </w:rPr>
            </w:pPr>
            <w:r w:rsidRPr="00701B7B">
              <w:rPr>
                <w:sz w:val="20"/>
              </w:rPr>
              <w:t>One group C.G. class per term.</w:t>
            </w:r>
          </w:p>
          <w:p w:rsidR="005A166A" w:rsidRPr="00701B7B" w:rsidRDefault="005A166A" w:rsidP="00B50533">
            <w:pPr>
              <w:rPr>
                <w:sz w:val="20"/>
              </w:rPr>
            </w:pPr>
            <w:r w:rsidRPr="00701B7B">
              <w:rPr>
                <w:sz w:val="20"/>
              </w:rPr>
              <w:t>Career Guidance counsellor 1 to 1 session :</w:t>
            </w:r>
          </w:p>
          <w:p w:rsidR="005A166A" w:rsidRPr="00701B7B" w:rsidRDefault="005A166A" w:rsidP="00B50533">
            <w:pPr>
              <w:rPr>
                <w:sz w:val="20"/>
              </w:rPr>
            </w:pPr>
            <w:proofErr w:type="gramStart"/>
            <w:r w:rsidRPr="00701B7B">
              <w:rPr>
                <w:sz w:val="20"/>
              </w:rPr>
              <w:t>as</w:t>
            </w:r>
            <w:proofErr w:type="gramEnd"/>
            <w:r w:rsidRPr="00701B7B">
              <w:rPr>
                <w:sz w:val="20"/>
              </w:rPr>
              <w:t xml:space="preserve"> requested.</w:t>
            </w:r>
          </w:p>
          <w:p w:rsidR="005A166A" w:rsidRPr="00701B7B" w:rsidRDefault="005A166A" w:rsidP="00B50533">
            <w:pPr>
              <w:rPr>
                <w:sz w:val="20"/>
              </w:rPr>
            </w:pPr>
            <w:r w:rsidRPr="00701B7B">
              <w:rPr>
                <w:sz w:val="20"/>
              </w:rPr>
              <w:t xml:space="preserve">Visits to PLC ‘open days’ </w:t>
            </w:r>
          </w:p>
          <w:p w:rsidR="005A166A" w:rsidRPr="00701B7B" w:rsidRDefault="005A166A" w:rsidP="00B50533">
            <w:pPr>
              <w:rPr>
                <w:sz w:val="20"/>
              </w:rPr>
            </w:pPr>
            <w:r w:rsidRPr="00701B7B">
              <w:rPr>
                <w:sz w:val="20"/>
              </w:rPr>
              <w:t>Work Experience / shadowing opportunities.</w:t>
            </w:r>
          </w:p>
          <w:p w:rsidR="005A166A" w:rsidRPr="00701B7B" w:rsidRDefault="005A166A" w:rsidP="00B50533">
            <w:pPr>
              <w:rPr>
                <w:sz w:val="20"/>
              </w:rPr>
            </w:pPr>
          </w:p>
        </w:tc>
        <w:tc>
          <w:tcPr>
            <w:tcW w:w="4012" w:type="dxa"/>
            <w:shd w:val="clear" w:color="auto" w:fill="auto"/>
          </w:tcPr>
          <w:p w:rsidR="005A166A" w:rsidRPr="00701B7B" w:rsidRDefault="005A166A" w:rsidP="00B50533">
            <w:pPr>
              <w:rPr>
                <w:sz w:val="20"/>
              </w:rPr>
            </w:pPr>
            <w:r w:rsidRPr="00701B7B">
              <w:rPr>
                <w:sz w:val="20"/>
              </w:rPr>
              <w:t>Work experience;</w:t>
            </w:r>
          </w:p>
          <w:p w:rsidR="005A166A" w:rsidRPr="00701B7B" w:rsidRDefault="005A166A" w:rsidP="00B50533">
            <w:pPr>
              <w:rPr>
                <w:sz w:val="20"/>
              </w:rPr>
            </w:pPr>
            <w:r w:rsidRPr="00701B7B">
              <w:rPr>
                <w:sz w:val="20"/>
              </w:rPr>
              <w:t>Opportunity to visit employers companies, places of interest.</w:t>
            </w:r>
          </w:p>
          <w:p w:rsidR="005A166A" w:rsidRPr="00701B7B" w:rsidRDefault="005A166A" w:rsidP="00B50533">
            <w:pPr>
              <w:rPr>
                <w:sz w:val="20"/>
              </w:rPr>
            </w:pPr>
            <w:r w:rsidRPr="00701B7B">
              <w:rPr>
                <w:sz w:val="20"/>
              </w:rPr>
              <w:t xml:space="preserve">Guest speakers. </w:t>
            </w:r>
          </w:p>
          <w:p w:rsidR="005A166A" w:rsidRPr="00701B7B" w:rsidRDefault="005A166A" w:rsidP="00B50533">
            <w:pPr>
              <w:rPr>
                <w:sz w:val="20"/>
              </w:rPr>
            </w:pPr>
            <w:r w:rsidRPr="00701B7B">
              <w:rPr>
                <w:sz w:val="20"/>
              </w:rPr>
              <w:t>Work Experience ‘career investigation’.</w:t>
            </w:r>
          </w:p>
          <w:p w:rsidR="005A166A" w:rsidRPr="00701B7B" w:rsidRDefault="005A166A" w:rsidP="00B50533">
            <w:pPr>
              <w:rPr>
                <w:sz w:val="20"/>
              </w:rPr>
            </w:pPr>
            <w:r w:rsidRPr="00701B7B">
              <w:rPr>
                <w:sz w:val="20"/>
              </w:rPr>
              <w:t>Work shadowing.</w:t>
            </w:r>
          </w:p>
          <w:p w:rsidR="005A166A" w:rsidRPr="00701B7B" w:rsidRDefault="005A166A" w:rsidP="00B50533">
            <w:pPr>
              <w:rPr>
                <w:sz w:val="20"/>
              </w:rPr>
            </w:pPr>
            <w:r w:rsidRPr="00701B7B">
              <w:rPr>
                <w:sz w:val="20"/>
              </w:rPr>
              <w:t>Strong links are established with Further Education Colleges (P.L.C.s) areas; also links with Local employers and other relevant agencies in order to develop transfer and progression routes.</w:t>
            </w:r>
          </w:p>
        </w:tc>
      </w:tr>
      <w:tr w:rsidR="005A166A" w:rsidRPr="00701B7B" w:rsidTr="00B50533">
        <w:tc>
          <w:tcPr>
            <w:tcW w:w="3823" w:type="dxa"/>
            <w:shd w:val="clear" w:color="auto" w:fill="auto"/>
          </w:tcPr>
          <w:p w:rsidR="005A166A" w:rsidRPr="00701B7B" w:rsidRDefault="005A166A" w:rsidP="00B50533">
            <w:pPr>
              <w:rPr>
                <w:sz w:val="20"/>
              </w:rPr>
            </w:pPr>
            <w:r w:rsidRPr="00701B7B">
              <w:rPr>
                <w:b/>
                <w:sz w:val="20"/>
              </w:rPr>
              <w:t xml:space="preserve">Transfer </w:t>
            </w:r>
          </w:p>
        </w:tc>
        <w:tc>
          <w:tcPr>
            <w:tcW w:w="3081" w:type="dxa"/>
            <w:shd w:val="clear" w:color="auto" w:fill="auto"/>
          </w:tcPr>
          <w:p w:rsidR="005A166A" w:rsidRPr="00701B7B" w:rsidRDefault="005A166A" w:rsidP="00B50533">
            <w:pPr>
              <w:rPr>
                <w:sz w:val="20"/>
              </w:rPr>
            </w:pPr>
            <w:r w:rsidRPr="00701B7B">
              <w:rPr>
                <w:sz w:val="20"/>
              </w:rPr>
              <w:t>Information on transfer options;</w:t>
            </w:r>
          </w:p>
          <w:p w:rsidR="005A166A" w:rsidRPr="00701B7B" w:rsidRDefault="005A166A" w:rsidP="00B50533">
            <w:pPr>
              <w:rPr>
                <w:sz w:val="20"/>
              </w:rPr>
            </w:pPr>
            <w:r w:rsidRPr="00701B7B">
              <w:rPr>
                <w:sz w:val="20"/>
              </w:rPr>
              <w:t xml:space="preserve">Citizens Advice </w:t>
            </w:r>
          </w:p>
          <w:p w:rsidR="005A166A" w:rsidRPr="00701B7B" w:rsidRDefault="005A166A" w:rsidP="00B50533">
            <w:pPr>
              <w:rPr>
                <w:sz w:val="20"/>
              </w:rPr>
            </w:pPr>
            <w:r w:rsidRPr="00701B7B">
              <w:rPr>
                <w:sz w:val="20"/>
              </w:rPr>
              <w:t>Grant application options support</w:t>
            </w:r>
          </w:p>
        </w:tc>
        <w:tc>
          <w:tcPr>
            <w:tcW w:w="4012" w:type="dxa"/>
            <w:shd w:val="clear" w:color="auto" w:fill="auto"/>
          </w:tcPr>
          <w:p w:rsidR="005A166A" w:rsidRPr="00701B7B" w:rsidRDefault="005A166A" w:rsidP="00B50533">
            <w:pPr>
              <w:rPr>
                <w:sz w:val="20"/>
              </w:rPr>
            </w:pPr>
            <w:r w:rsidRPr="00701B7B">
              <w:rPr>
                <w:sz w:val="20"/>
              </w:rPr>
              <w:t>Information leaflets/ prospectus displayed in the centre.</w:t>
            </w:r>
          </w:p>
          <w:p w:rsidR="005A166A" w:rsidRPr="00701B7B" w:rsidRDefault="005A166A" w:rsidP="00B50533">
            <w:pPr>
              <w:rPr>
                <w:sz w:val="20"/>
              </w:rPr>
            </w:pPr>
            <w:r w:rsidRPr="00701B7B">
              <w:rPr>
                <w:sz w:val="20"/>
              </w:rPr>
              <w:t>Visits to Further Education Colleges in and out of the region.</w:t>
            </w:r>
          </w:p>
        </w:tc>
      </w:tr>
      <w:tr w:rsidR="005A166A" w:rsidRPr="00701B7B" w:rsidTr="00B50533">
        <w:tc>
          <w:tcPr>
            <w:tcW w:w="3823" w:type="dxa"/>
            <w:shd w:val="clear" w:color="auto" w:fill="auto"/>
          </w:tcPr>
          <w:p w:rsidR="005A166A" w:rsidRPr="00701B7B" w:rsidRDefault="005A166A" w:rsidP="00B50533">
            <w:pPr>
              <w:rPr>
                <w:b/>
                <w:sz w:val="20"/>
              </w:rPr>
            </w:pPr>
            <w:r w:rsidRPr="00701B7B">
              <w:rPr>
                <w:b/>
                <w:sz w:val="20"/>
              </w:rPr>
              <w:t>Progression</w:t>
            </w:r>
          </w:p>
        </w:tc>
        <w:tc>
          <w:tcPr>
            <w:tcW w:w="3081" w:type="dxa"/>
            <w:shd w:val="clear" w:color="auto" w:fill="auto"/>
          </w:tcPr>
          <w:p w:rsidR="005A166A" w:rsidRPr="00701B7B" w:rsidRDefault="005A166A" w:rsidP="00B50533">
            <w:pPr>
              <w:rPr>
                <w:b/>
                <w:sz w:val="20"/>
                <w:u w:val="single"/>
              </w:rPr>
            </w:pPr>
            <w:r w:rsidRPr="00701B7B">
              <w:rPr>
                <w:b/>
                <w:sz w:val="20"/>
                <w:u w:val="single"/>
              </w:rPr>
              <w:t>Upon leaving</w:t>
            </w:r>
          </w:p>
          <w:p w:rsidR="005A166A" w:rsidRPr="00701B7B" w:rsidRDefault="005A166A" w:rsidP="00B50533">
            <w:pPr>
              <w:rPr>
                <w:sz w:val="20"/>
              </w:rPr>
            </w:pPr>
            <w:r w:rsidRPr="00701B7B">
              <w:rPr>
                <w:sz w:val="20"/>
              </w:rPr>
              <w:t xml:space="preserve">Follow up on progression of students,  within a 3-6 months period  by advocate </w:t>
            </w:r>
          </w:p>
        </w:tc>
        <w:tc>
          <w:tcPr>
            <w:tcW w:w="4012" w:type="dxa"/>
            <w:shd w:val="clear" w:color="auto" w:fill="auto"/>
          </w:tcPr>
          <w:p w:rsidR="005A166A" w:rsidRPr="00701B7B" w:rsidRDefault="005A166A" w:rsidP="00B50533">
            <w:pPr>
              <w:rPr>
                <w:sz w:val="20"/>
              </w:rPr>
            </w:pPr>
            <w:r w:rsidRPr="00701B7B">
              <w:rPr>
                <w:sz w:val="20"/>
              </w:rPr>
              <w:t>Learners’ progression and transfer options are documented, where possible.  Through the following methods:   Direct contact;</w:t>
            </w:r>
          </w:p>
          <w:p w:rsidR="005A166A" w:rsidRPr="00701B7B" w:rsidRDefault="005A166A" w:rsidP="00B50533">
            <w:pPr>
              <w:rPr>
                <w:sz w:val="20"/>
              </w:rPr>
            </w:pPr>
            <w:r w:rsidRPr="00701B7B">
              <w:rPr>
                <w:sz w:val="20"/>
              </w:rPr>
              <w:t xml:space="preserve">Local knowledge; Contact with parents/family/ siblings. Advocate provision. </w:t>
            </w:r>
          </w:p>
        </w:tc>
      </w:tr>
    </w:tbl>
    <w:p w:rsidR="005A166A" w:rsidRDefault="005A166A" w:rsidP="005A166A">
      <w:pPr>
        <w:rPr>
          <w:rFonts w:ascii="Calibri" w:hAnsi="Calibri" w:cs="Calibri"/>
          <w:b/>
          <w:color w:val="000000"/>
          <w:sz w:val="28"/>
          <w:szCs w:val="28"/>
          <w:u w:val="single"/>
          <w:lang w:eastAsia="en-GB"/>
        </w:rPr>
      </w:pPr>
    </w:p>
    <w:p w:rsidR="005A166A" w:rsidRDefault="005A166A" w:rsidP="005A166A">
      <w:pPr>
        <w:rPr>
          <w:rFonts w:ascii="Calibri" w:hAnsi="Calibri" w:cs="Calibri"/>
          <w:b/>
          <w:color w:val="000000"/>
          <w:sz w:val="28"/>
          <w:szCs w:val="28"/>
          <w:u w:val="single"/>
          <w:lang w:eastAsia="en-GB"/>
        </w:rPr>
      </w:pPr>
    </w:p>
    <w:p w:rsidR="005A166A" w:rsidRPr="00701B7B" w:rsidRDefault="005A166A" w:rsidP="005A166A">
      <w:pPr>
        <w:rPr>
          <w:rFonts w:ascii="Calibri" w:hAnsi="Calibri" w:cs="Calibri"/>
          <w:b/>
          <w:color w:val="000000"/>
          <w:sz w:val="28"/>
          <w:szCs w:val="28"/>
          <w:u w:val="single"/>
          <w:lang w:eastAsia="en-GB"/>
        </w:rPr>
      </w:pPr>
      <w:bookmarkStart w:id="0" w:name="_GoBack"/>
      <w:bookmarkEnd w:id="0"/>
      <w:r w:rsidRPr="00701B7B">
        <w:rPr>
          <w:rFonts w:ascii="Calibri" w:hAnsi="Calibri" w:cs="Calibri"/>
          <w:b/>
          <w:color w:val="000000"/>
          <w:sz w:val="28"/>
          <w:szCs w:val="28"/>
          <w:u w:val="single"/>
          <w:lang w:eastAsia="en-GB"/>
        </w:rPr>
        <w:t>Review</w:t>
      </w:r>
    </w:p>
    <w:p w:rsidR="005A166A" w:rsidRPr="00701B7B" w:rsidRDefault="005A166A" w:rsidP="005A166A">
      <w:pPr>
        <w:rPr>
          <w:rFonts w:cs="Calibri"/>
          <w:szCs w:val="23"/>
        </w:rPr>
      </w:pPr>
      <w:r w:rsidRPr="00701B7B">
        <w:rPr>
          <w:rFonts w:cs="Calibri"/>
          <w:szCs w:val="23"/>
        </w:rPr>
        <w:t xml:space="preserve">Student evaluation of the </w:t>
      </w:r>
      <w:proofErr w:type="spellStart"/>
      <w:r w:rsidRPr="00701B7B">
        <w:rPr>
          <w:rFonts w:cs="Calibri"/>
          <w:szCs w:val="23"/>
        </w:rPr>
        <w:t>programme</w:t>
      </w:r>
      <w:proofErr w:type="spellEnd"/>
      <w:r w:rsidRPr="00701B7B">
        <w:rPr>
          <w:rFonts w:cs="Calibri"/>
          <w:szCs w:val="23"/>
        </w:rPr>
        <w:t xml:space="preserve"> will take place at the end of the academic year.</w:t>
      </w:r>
    </w:p>
    <w:p w:rsidR="005A166A" w:rsidRPr="00701B7B" w:rsidRDefault="005A166A" w:rsidP="005A166A">
      <w:pPr>
        <w:rPr>
          <w:rFonts w:ascii="Calibri" w:hAnsi="Calibri" w:cs="Calibri"/>
          <w:color w:val="000000"/>
          <w:lang w:eastAsia="en-GB"/>
        </w:rPr>
      </w:pPr>
      <w:r w:rsidRPr="00701B7B">
        <w:rPr>
          <w:rFonts w:ascii="Calibri" w:hAnsi="Calibri" w:cs="Calibri"/>
          <w:color w:val="000000"/>
          <w:lang w:eastAsia="en-GB"/>
        </w:rPr>
        <w:t xml:space="preserve">This policy will be reviewed by the Board of Management annually.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7"/>
        <w:gridCol w:w="4399"/>
      </w:tblGrid>
      <w:tr w:rsidR="005A166A" w:rsidRPr="00701B7B" w:rsidTr="00B50533">
        <w:trPr>
          <w:trHeight w:val="284"/>
        </w:trPr>
        <w:tc>
          <w:tcPr>
            <w:tcW w:w="4407" w:type="dxa"/>
          </w:tcPr>
          <w:p w:rsidR="005A166A" w:rsidRPr="00701B7B" w:rsidRDefault="005A166A" w:rsidP="00B50533">
            <w:pPr>
              <w:rPr>
                <w:rFonts w:cs="Calibri"/>
                <w:sz w:val="21"/>
              </w:rPr>
            </w:pPr>
            <w:r w:rsidRPr="00701B7B">
              <w:rPr>
                <w:rFonts w:cs="Calibri"/>
                <w:sz w:val="21"/>
              </w:rPr>
              <w:t>Submitted to Staff:</w:t>
            </w:r>
          </w:p>
        </w:tc>
        <w:tc>
          <w:tcPr>
            <w:tcW w:w="4399" w:type="dxa"/>
          </w:tcPr>
          <w:p w:rsidR="005A166A" w:rsidRPr="00701B7B" w:rsidRDefault="005A166A" w:rsidP="00B50533">
            <w:pPr>
              <w:rPr>
                <w:rFonts w:cs="Calibri"/>
                <w:sz w:val="21"/>
              </w:rPr>
            </w:pPr>
          </w:p>
        </w:tc>
      </w:tr>
      <w:tr w:rsidR="005A166A" w:rsidRPr="00701B7B" w:rsidTr="00B50533">
        <w:trPr>
          <w:trHeight w:val="284"/>
        </w:trPr>
        <w:tc>
          <w:tcPr>
            <w:tcW w:w="4407" w:type="dxa"/>
          </w:tcPr>
          <w:p w:rsidR="005A166A" w:rsidRPr="00701B7B" w:rsidRDefault="005A166A" w:rsidP="00B50533">
            <w:pPr>
              <w:rPr>
                <w:rFonts w:cs="Calibri"/>
                <w:sz w:val="21"/>
              </w:rPr>
            </w:pPr>
            <w:r w:rsidRPr="00701B7B">
              <w:rPr>
                <w:rFonts w:cs="Calibri"/>
                <w:sz w:val="21"/>
              </w:rPr>
              <w:t>Submitted to Board of Management:</w:t>
            </w:r>
          </w:p>
        </w:tc>
        <w:tc>
          <w:tcPr>
            <w:tcW w:w="4399" w:type="dxa"/>
          </w:tcPr>
          <w:p w:rsidR="005A166A" w:rsidRPr="00701B7B" w:rsidRDefault="005A166A" w:rsidP="00B50533">
            <w:pPr>
              <w:rPr>
                <w:rFonts w:cs="Calibri"/>
                <w:sz w:val="21"/>
              </w:rPr>
            </w:pPr>
          </w:p>
        </w:tc>
      </w:tr>
      <w:tr w:rsidR="005A166A" w:rsidRPr="00701B7B" w:rsidTr="00B50533">
        <w:trPr>
          <w:trHeight w:val="284"/>
        </w:trPr>
        <w:tc>
          <w:tcPr>
            <w:tcW w:w="4407" w:type="dxa"/>
          </w:tcPr>
          <w:p w:rsidR="005A166A" w:rsidRPr="00701B7B" w:rsidRDefault="005A166A" w:rsidP="00B50533">
            <w:pPr>
              <w:rPr>
                <w:rFonts w:cs="Calibri"/>
                <w:sz w:val="21"/>
              </w:rPr>
            </w:pPr>
            <w:r w:rsidRPr="00701B7B">
              <w:rPr>
                <w:rFonts w:cs="Calibri"/>
                <w:sz w:val="21"/>
              </w:rPr>
              <w:t>Submitted to ETB Board:</w:t>
            </w:r>
          </w:p>
        </w:tc>
        <w:tc>
          <w:tcPr>
            <w:tcW w:w="4399" w:type="dxa"/>
          </w:tcPr>
          <w:p w:rsidR="005A166A" w:rsidRPr="00701B7B" w:rsidRDefault="005A166A" w:rsidP="00B50533">
            <w:pPr>
              <w:rPr>
                <w:rFonts w:cs="Calibri"/>
                <w:sz w:val="21"/>
              </w:rPr>
            </w:pPr>
          </w:p>
        </w:tc>
      </w:tr>
      <w:tr w:rsidR="005A166A" w:rsidRPr="00701B7B" w:rsidTr="00B50533">
        <w:trPr>
          <w:trHeight w:val="284"/>
        </w:trPr>
        <w:tc>
          <w:tcPr>
            <w:tcW w:w="4407" w:type="dxa"/>
          </w:tcPr>
          <w:p w:rsidR="005A166A" w:rsidRPr="00701B7B" w:rsidRDefault="005A166A" w:rsidP="00B50533">
            <w:pPr>
              <w:rPr>
                <w:rFonts w:cs="Calibri"/>
                <w:sz w:val="21"/>
              </w:rPr>
            </w:pPr>
            <w:r w:rsidRPr="00701B7B">
              <w:rPr>
                <w:rFonts w:cs="Calibri"/>
                <w:sz w:val="21"/>
              </w:rPr>
              <w:t>Passed by ETB Board:</w:t>
            </w:r>
          </w:p>
        </w:tc>
        <w:tc>
          <w:tcPr>
            <w:tcW w:w="4399" w:type="dxa"/>
          </w:tcPr>
          <w:p w:rsidR="005A166A" w:rsidRPr="00701B7B" w:rsidRDefault="005A166A" w:rsidP="00B50533">
            <w:pPr>
              <w:rPr>
                <w:rFonts w:cs="Calibri"/>
                <w:sz w:val="21"/>
              </w:rPr>
            </w:pPr>
          </w:p>
        </w:tc>
      </w:tr>
      <w:tr w:rsidR="005A166A" w:rsidRPr="00701B7B" w:rsidTr="00B50533">
        <w:trPr>
          <w:trHeight w:val="284"/>
        </w:trPr>
        <w:tc>
          <w:tcPr>
            <w:tcW w:w="4407" w:type="dxa"/>
          </w:tcPr>
          <w:p w:rsidR="005A166A" w:rsidRPr="00701B7B" w:rsidRDefault="005A166A" w:rsidP="00B50533">
            <w:pPr>
              <w:rPr>
                <w:rFonts w:cs="Calibri"/>
                <w:sz w:val="21"/>
              </w:rPr>
            </w:pPr>
            <w:r w:rsidRPr="00701B7B">
              <w:rPr>
                <w:rFonts w:cs="Calibri"/>
                <w:sz w:val="21"/>
              </w:rPr>
              <w:t>Reviewed:</w:t>
            </w:r>
          </w:p>
        </w:tc>
        <w:tc>
          <w:tcPr>
            <w:tcW w:w="4399" w:type="dxa"/>
          </w:tcPr>
          <w:p w:rsidR="005A166A" w:rsidRPr="00701B7B" w:rsidRDefault="005A166A" w:rsidP="00B50533">
            <w:pPr>
              <w:rPr>
                <w:rFonts w:cs="Calibri"/>
                <w:sz w:val="21"/>
              </w:rPr>
            </w:pPr>
          </w:p>
        </w:tc>
      </w:tr>
    </w:tbl>
    <w:p w:rsidR="00AD68B1" w:rsidRDefault="00AD68B1"/>
    <w:sectPr w:rsidR="00AD68B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90E"/>
    <w:rsid w:val="000124F6"/>
    <w:rsid w:val="000844E1"/>
    <w:rsid w:val="00085145"/>
    <w:rsid w:val="000E4EE4"/>
    <w:rsid w:val="001200A1"/>
    <w:rsid w:val="001747BA"/>
    <w:rsid w:val="002B517F"/>
    <w:rsid w:val="00305711"/>
    <w:rsid w:val="00352B60"/>
    <w:rsid w:val="00522E02"/>
    <w:rsid w:val="005A166A"/>
    <w:rsid w:val="006B7E4E"/>
    <w:rsid w:val="00AD68B1"/>
    <w:rsid w:val="00B2290E"/>
    <w:rsid w:val="00C07D7D"/>
    <w:rsid w:val="00C66A9E"/>
    <w:rsid w:val="00CF3348"/>
    <w:rsid w:val="00DB122E"/>
    <w:rsid w:val="00DE1082"/>
    <w:rsid w:val="00DE68BD"/>
    <w:rsid w:val="00E10EBF"/>
    <w:rsid w:val="00E3406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290E"/>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290E"/>
    <w:pPr>
      <w:ind w:left="720"/>
      <w:contextualSpacing/>
    </w:pPr>
    <w:rPr>
      <w:rFonts w:cs="Arial"/>
      <w:lang w:val="en-IE" w:eastAsia="en-GB"/>
    </w:rPr>
  </w:style>
  <w:style w:type="paragraph" w:styleId="BalloonText">
    <w:name w:val="Balloon Text"/>
    <w:basedOn w:val="Normal"/>
    <w:link w:val="BalloonTextChar"/>
    <w:uiPriority w:val="99"/>
    <w:semiHidden/>
    <w:unhideWhenUsed/>
    <w:rsid w:val="00DB122E"/>
    <w:rPr>
      <w:rFonts w:ascii="Tahoma" w:hAnsi="Tahoma" w:cs="Tahoma"/>
      <w:sz w:val="16"/>
      <w:szCs w:val="16"/>
    </w:rPr>
  </w:style>
  <w:style w:type="character" w:customStyle="1" w:styleId="BalloonTextChar">
    <w:name w:val="Balloon Text Char"/>
    <w:basedOn w:val="DefaultParagraphFont"/>
    <w:link w:val="BalloonText"/>
    <w:uiPriority w:val="99"/>
    <w:semiHidden/>
    <w:rsid w:val="00DB122E"/>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mage001.png@01D275B0.91E9ACB0"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337</Words>
  <Characters>1923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Tipperary ETB</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Bernie Harty</dc:creator>
  <cp:lastModifiedBy>Corina Kennedy</cp:lastModifiedBy>
  <cp:revision>5</cp:revision>
  <cp:lastPrinted>2017-05-25T09:12:00Z</cp:lastPrinted>
  <dcterms:created xsi:type="dcterms:W3CDTF">2017-05-25T09:07:00Z</dcterms:created>
  <dcterms:modified xsi:type="dcterms:W3CDTF">2017-05-25T09:39:00Z</dcterms:modified>
</cp:coreProperties>
</file>